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54EA">
      <w:pPr>
        <w:spacing w:line="400" w:lineRule="exact"/>
        <w:rPr>
          <w:rFonts w:hint="eastAsia" w:ascii="宋体" w:hAnsi="宋体" w:eastAsia="宋体" w:cs="宋体"/>
          <w:bCs/>
          <w:sz w:val="28"/>
          <w:szCs w:val="28"/>
        </w:rPr>
      </w:pPr>
      <w:r>
        <w:rPr>
          <w:rFonts w:hint="eastAsia" w:ascii="宋体" w:hAnsi="宋体" w:eastAsia="宋体" w:cs="宋体"/>
          <w:bCs/>
          <w:sz w:val="28"/>
          <w:szCs w:val="28"/>
        </w:rPr>
        <w:t>附件2：</w:t>
      </w:r>
    </w:p>
    <w:p w14:paraId="5BF8B164">
      <w:pPr>
        <w:spacing w:line="200" w:lineRule="exact"/>
        <w:rPr>
          <w:rFonts w:hint="eastAsia" w:ascii="宋体" w:hAnsi="宋体" w:eastAsia="宋体" w:cs="宋体"/>
          <w:bCs/>
          <w:sz w:val="24"/>
          <w:szCs w:val="24"/>
        </w:rPr>
      </w:pPr>
    </w:p>
    <w:p w14:paraId="567F1AEF">
      <w:pPr>
        <w:spacing w:line="400" w:lineRule="exact"/>
        <w:jc w:val="center"/>
        <w:rPr>
          <w:rFonts w:hint="eastAsia"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2025宁波市企业百强、浙江省企业百强</w:t>
      </w:r>
    </w:p>
    <w:p w14:paraId="0EEA3E17">
      <w:pPr>
        <w:spacing w:line="400" w:lineRule="exact"/>
        <w:jc w:val="center"/>
        <w:rPr>
          <w:rFonts w:hint="eastAsia"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及中国企业500强申报表填表说明</w:t>
      </w:r>
    </w:p>
    <w:p w14:paraId="08EEA8BE">
      <w:pPr>
        <w:spacing w:line="400" w:lineRule="exact"/>
        <w:jc w:val="center"/>
        <w:rPr>
          <w:rFonts w:hint="eastAsia" w:ascii="宋体" w:hAnsi="宋体" w:eastAsia="宋体" w:cs="宋体"/>
          <w:b/>
          <w:bCs/>
          <w:sz w:val="32"/>
          <w:szCs w:val="32"/>
        </w:rPr>
      </w:pPr>
      <w:r>
        <w:rPr>
          <w:rFonts w:hint="eastAsia" w:ascii="方正小标宋简体" w:hAnsi="方正小标宋简体" w:eastAsia="方正小标宋简体" w:cs="方正小标宋简体"/>
          <w:bCs/>
          <w:spacing w:val="-6"/>
          <w:sz w:val="32"/>
          <w:szCs w:val="32"/>
        </w:rPr>
        <w:t>（含跨国公司100大、战新企业100强、大企业创新100强）</w:t>
      </w:r>
    </w:p>
    <w:p w14:paraId="60D28B1B">
      <w:pPr>
        <w:spacing w:line="200" w:lineRule="exact"/>
        <w:rPr>
          <w:rFonts w:hint="eastAsia" w:ascii="仿宋" w:hAnsi="仿宋" w:eastAsia="仿宋" w:cs="仿宋"/>
          <w:sz w:val="28"/>
          <w:szCs w:val="28"/>
        </w:rPr>
      </w:pPr>
    </w:p>
    <w:p w14:paraId="51D12B2D">
      <w:pPr>
        <w:spacing w:line="560" w:lineRule="exact"/>
        <w:rPr>
          <w:rFonts w:hint="eastAsia" w:ascii="仿宋" w:hAnsi="仿宋" w:eastAsia="仿宋" w:cs="仿宋"/>
          <w:sz w:val="28"/>
          <w:szCs w:val="28"/>
        </w:rPr>
      </w:pPr>
      <w:r>
        <w:rPr>
          <w:rFonts w:hint="eastAsia" w:ascii="仿宋" w:hAnsi="仿宋" w:eastAsia="仿宋" w:cs="仿宋"/>
          <w:sz w:val="28"/>
          <w:szCs w:val="28"/>
        </w:rPr>
        <w:t>申报表主要栏目填报说明如下：</w:t>
      </w:r>
    </w:p>
    <w:p w14:paraId="373D3F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一、企业性质栏：请从“国有”、“民营”、“外资”三种性质中选一项打√。国有及国有控股、外资及外资控股之外的企业，一般均视为民营企业。</w:t>
      </w:r>
    </w:p>
    <w:p w14:paraId="623BFCE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二、生产的产品或提供的服务栏：指企业生产的主要产品或提供的主要服务，按在营业（销售）收入的占比由大到小排列，最多不超过3项。</w:t>
      </w:r>
    </w:p>
    <w:p w14:paraId="7EAD1735">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三、指标栏：包括营业收入、海外收入、资产总额、海外资产、从业人数、海外员工、利润总额、所有者权益、纳税总额、研发费用等。所有指标均按企业合并财务报表的数据填报，金额单位：万元人民币。</w:t>
      </w:r>
    </w:p>
    <w:p w14:paraId="175E15B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营业（销售）收入：不含增值税收入，包括企业的所有收入，即主营业务和非主营业务、境内和境外的收入。商业银行的营业收入为利息收入与非利息营业收入之和。保险公司的营业收入是保险费和年金收入扣除储蓄的资本收益或损失。 </w:t>
      </w:r>
    </w:p>
    <w:p w14:paraId="42FB2ED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利润总额：所得税税前利润。</w:t>
      </w:r>
    </w:p>
    <w:p w14:paraId="7836072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净利润：利润总额扣除所得税。</w:t>
      </w:r>
    </w:p>
    <w:p w14:paraId="7CF5D42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归属母公司所有者净利润：净利润扣除少数股东损益。</w:t>
      </w:r>
    </w:p>
    <w:p w14:paraId="25622E7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资产总额：年末的资产总额。</w:t>
      </w:r>
    </w:p>
    <w:p w14:paraId="0AB6609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所有者权益：年末的所有者权益总额。</w:t>
      </w:r>
    </w:p>
    <w:p w14:paraId="1A52015A">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归属母公司所有者权益：所有者权益扣除少数股东权益。</w:t>
      </w:r>
    </w:p>
    <w:p w14:paraId="76EDBA1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纳税总额：在中国大陆境内实际缴纳的税收总额，包括增值税、消费税、营业税、企业所得税以及其他各税种，不包括本企业（集团）代扣代缴其他企业或个人的各种税收，也不包括教育费附加、文化事业建设费等各项非税收费用。</w:t>
      </w:r>
    </w:p>
    <w:p w14:paraId="7B27A80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14:paraId="19B8449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员工总数：年度平均从业人数（含所有被合并报表企业的人数）。</w:t>
      </w:r>
    </w:p>
    <w:p w14:paraId="161D1FA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海外收入、海外资产、海外员工是指企业在中国大陆以外的营业收入、资产、员工。海外收入以平均汇率折算，平均汇率:2023年为1美元=7.0510元人民币，2024年为1美元=7.1175元人民币;海外资产以年底汇率折算，年底汇率:2023年为1美元=7.0827 元人民币,2024年为1美元=7.1884 元人民币。</w:t>
      </w:r>
    </w:p>
    <w:p w14:paraId="0C332B5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战略性新兴产业的行业分类代码如下：1、新一代信息技术产业；2、高端装备制造产业；3、新材料产业；4、生物产业；5、新能源汽车产业；6、新能源产业；7、节能环保产业；8、数字创意产业；9、相关服务业。</w:t>
      </w:r>
    </w:p>
    <w:p w14:paraId="3BC3770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五、企业信息栏：请按照要求填写或打√。</w:t>
      </w:r>
    </w:p>
    <w:p w14:paraId="0DAD2270">
      <w:r>
        <w:rPr>
          <w:rFonts w:hint="eastAsia" w:ascii="仿宋" w:hAnsi="仿宋" w:eastAsia="仿宋" w:cs="仿宋"/>
          <w:sz w:val="28"/>
          <w:szCs w:val="28"/>
        </w:rPr>
        <w:t>六、为了便于2025中国企业500强在海外和英文网站发布，企业名称需用中英文填写，所有填报栏目一定要填全，资料要仔细核对，保证名称及数据的准确性，并请签字、盖章。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23B5F"/>
    <w:rsid w:val="1E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2025-04-07T08:12:00Z</dcterms:created>
  <dc:creator>小小门牙</dc:creator>
  <cp:lastModifiedBy>小小门牙</cp:lastModifiedBy>
  <dcterms:modified xsi:type="dcterms:W3CDTF">2025-04-07T08:12:28Z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0B301B29125949F7A7BD085DDD2FF880_11</vt:lpwstr>
  </property>
  <property fmtid="{D5CDD505-2E9C-101B-9397-08002B2CF9AE}" pid="4" name="KSOTemplateDocerSaveRecord">
    <vt:lpwstr>eyJoZGlkIjoiMzI1NzNlYTk0MDg3OGE1OWE3ZDQ5OGE0MDAwM2M1NDkiLCJ1c2VySWQiOiI1NzUxMzM3MDcifQ==</vt:lpwstr>
  </property>
</Properties>
</file>