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6749F">
      <w:pPr>
        <w:spacing w:line="340" w:lineRule="exact"/>
        <w:rPr>
          <w:rFonts w:hint="eastAsia" w:ascii="宋体" w:hAnsi="宋体" w:eastAsia="宋体" w:cs="Times New Roman"/>
          <w:bCs/>
          <w:color w:val="000000"/>
          <w:sz w:val="24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附件2：</w:t>
      </w:r>
    </w:p>
    <w:p w14:paraId="161385B4">
      <w:pPr>
        <w:spacing w:line="500" w:lineRule="exact"/>
        <w:jc w:val="center"/>
        <w:rPr>
          <w:rFonts w:hint="eastAsia" w:ascii="宋体" w:hAnsi="宋体" w:eastAsia="宋体" w:cs="Times New Roman"/>
          <w:b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2025宁波竞争力企业百强填表说明</w:t>
      </w:r>
    </w:p>
    <w:p w14:paraId="21387BAC">
      <w:pPr>
        <w:spacing w:line="300" w:lineRule="exact"/>
        <w:jc w:val="center"/>
        <w:rPr>
          <w:rFonts w:hint="eastAsia" w:ascii="宋体" w:hAnsi="宋体" w:eastAsia="宋体" w:cs="Times New Roman"/>
          <w:b/>
          <w:color w:val="000000"/>
          <w:sz w:val="30"/>
          <w:szCs w:val="30"/>
        </w:rPr>
      </w:pPr>
    </w:p>
    <w:p w14:paraId="10D1C2BB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（1）国际、国家行业产品标准修订：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 w14:paraId="1ED44FBE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权数1：国际行业产品标准12分、国家级9分、浙江标准及行业（联盟）</w:t>
      </w:r>
    </w:p>
    <w:p w14:paraId="3090E69A">
      <w:pPr>
        <w:spacing w:line="580" w:lineRule="exact"/>
        <w:ind w:firstLine="1680" w:firstLineChars="6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标准计6分；</w:t>
      </w:r>
    </w:p>
    <w:p w14:paraId="3024523B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权数2：单项系数为1.0，多项系数为N*0.6；</w:t>
      </w:r>
    </w:p>
    <w:p w14:paraId="7E2CC422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权数1与权数2相乘得出得分。（2019年起有效，以已公布为准）</w:t>
      </w:r>
    </w:p>
    <w:p w14:paraId="4E3CD395">
      <w:pPr>
        <w:spacing w:line="580" w:lineRule="exact"/>
        <w:ind w:firstLine="494" w:firstLineChars="200"/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  <w:t>注：N为项目数，L1、L2、L3项的二倍权数分封顶，L4=L1+L2+L3（满分为24分）</w:t>
      </w:r>
    </w:p>
    <w:p w14:paraId="1F65A23B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（2）专利、版权获得情况：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 w14:paraId="5C20628E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权数1：获得发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明专利6分、实用新型专利3分、外观设计专利1分；</w:t>
      </w:r>
    </w:p>
    <w:p w14:paraId="64360020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软件及文化影视传媒产业：软件著作权及其它著作版权的，视同实用新</w:t>
      </w:r>
    </w:p>
    <w:p w14:paraId="60F0CFDA">
      <w:pPr>
        <w:spacing w:line="580" w:lineRule="exact"/>
        <w:ind w:firstLine="3920" w:firstLineChars="14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型专利计3分；</w:t>
      </w:r>
    </w:p>
    <w:p w14:paraId="6955630E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权数2：单项系数为1.0，多项系数为N*0.6；</w:t>
      </w:r>
    </w:p>
    <w:p w14:paraId="5B9F4B0E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权数1与权数2相乘得出得分数。（2019年起有效，以已公布为准）</w:t>
      </w:r>
    </w:p>
    <w:p w14:paraId="33D0BF99">
      <w:pPr>
        <w:spacing w:line="580" w:lineRule="exact"/>
        <w:ind w:firstLine="494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  <w:t>注：N为项目数，L1、L2、L3项的二倍权数分封顶，L4=L1+L2+L3（满分为12分）</w:t>
      </w:r>
    </w:p>
    <w:p w14:paraId="25CACFC0">
      <w:pPr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（3）科学技术奖：</w:t>
      </w:r>
      <w:r>
        <w:rPr>
          <w:rFonts w:hint="eastAsia" w:ascii="仿宋" w:hAnsi="仿宋" w:eastAsia="仿宋" w:cs="仿宋"/>
          <w:sz w:val="28"/>
          <w:szCs w:val="28"/>
        </w:rPr>
        <w:t>为表彰企业在技术研究、技术开发、技术创新、推广应用</w:t>
      </w:r>
    </w:p>
    <w:p w14:paraId="761EF15F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先进科学技术成果、促进高新技术产业化，以及完成重大科学技术工程、</w:t>
      </w:r>
    </w:p>
    <w:p w14:paraId="5DD0C312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计划等过程中做出创造性贡献所设立的奖项，以国家、省、市科技部门</w:t>
      </w:r>
    </w:p>
    <w:p w14:paraId="507740DF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颁发的科学技术奖为计分依据。（非科技部门颁发的科学技术奖，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作降档</w:t>
      </w:r>
    </w:p>
    <w:p w14:paraId="2CC35251"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处理，即国家级降至省级、省级降至市级，以此类推）</w:t>
      </w:r>
    </w:p>
    <w:p w14:paraId="146813DB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权数1：国家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科学技术奖计12分、省级计9分、市级计6分；</w:t>
      </w:r>
    </w:p>
    <w:p w14:paraId="29F963E5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权数2：国家科学技术特等奖N*2.0，一等奖N*1.0，二等奖N*0.8；</w:t>
      </w:r>
    </w:p>
    <w:p w14:paraId="2C20F970">
      <w:pPr>
        <w:spacing w:line="580" w:lineRule="exact"/>
        <w:ind w:firstLine="1680" w:firstLineChars="6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省、市级一等奖N*1.0，二等奖N*0.8，三等奖N*0.6；</w:t>
      </w:r>
    </w:p>
    <w:p w14:paraId="1AFE75F6"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权数1与权数2相乘得出得分数。（2019年起有效，以已公布为准）</w:t>
      </w:r>
    </w:p>
    <w:p w14:paraId="7BC9AD7E">
      <w:pPr>
        <w:spacing w:line="580" w:lineRule="exact"/>
        <w:ind w:firstLine="494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  <w:t>注：N为项目数，L1、L2、L3项的二倍权数分封顶，L4=L1+L2+L3（满分为24分）</w:t>
      </w:r>
    </w:p>
    <w:p w14:paraId="196049B4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（4）奖项获得：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获得国家、省、市政府部门颁发的涉及企业产品、质量、设</w:t>
      </w:r>
    </w:p>
    <w:p w14:paraId="1F1289EA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计、研发等的奖项，以及得到政府部门认可的，获得重大贡献的产品。</w:t>
      </w:r>
    </w:p>
    <w:p w14:paraId="58026958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包括：建筑业的国家优质工程金奖、鲁班奖（含工法）；国家工程银奖、</w:t>
      </w:r>
    </w:p>
    <w:p w14:paraId="15B5A859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白玉兰奖、钱江杯、省级奖（含工法）；甬江杯、市级奖（含工法）。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酒</w:t>
      </w:r>
    </w:p>
    <w:p w14:paraId="4970762F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店业的金叶奖、银叶奖等；其它行业以此类推。（非职能部门颁发的奖项，</w:t>
      </w:r>
    </w:p>
    <w:p w14:paraId="2D45F639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作降档处理，即国家级降至省级、省级降至市级，以此类推；在国际、</w:t>
      </w:r>
    </w:p>
    <w:p w14:paraId="794D9C89"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国内展会上获奖不作计分依据）</w:t>
      </w:r>
    </w:p>
    <w:p w14:paraId="72B99DB1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权数1：国家级6分、省级3分、市级1分；</w:t>
      </w:r>
    </w:p>
    <w:p w14:paraId="3CF93D43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权数2：单项系数为1.0，多项系数为N*0.6；</w:t>
      </w:r>
    </w:p>
    <w:p w14:paraId="430371B4">
      <w:pPr>
        <w:spacing w:line="580" w:lineRule="exact"/>
        <w:ind w:firstLine="49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7"/>
          <w:sz w:val="28"/>
          <w:szCs w:val="28"/>
        </w:rPr>
        <w:t>权数1与权数2相乘得出得分数。（2019年起有效，以已公布为准，同级允许相加）</w:t>
      </w:r>
    </w:p>
    <w:p w14:paraId="57E8C460">
      <w:pPr>
        <w:spacing w:line="580" w:lineRule="exact"/>
        <w:ind w:firstLine="494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  <w:t>注：N为项目数，L1、L2、L3项的二倍权数分封顶，L4=L1+L2+L3（满分为12分）</w:t>
      </w:r>
    </w:p>
    <w:p w14:paraId="68505CB3">
      <w:pPr>
        <w:spacing w:line="58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（5）高新技术企业、首台（套）、技术中心、重点软件企业：</w:t>
      </w:r>
    </w:p>
    <w:p w14:paraId="45E2891F"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为促进高新技术发展，将高新技术企业、首台（套）等列为计分依据；</w:t>
      </w:r>
    </w:p>
    <w:p w14:paraId="528660AF">
      <w:pPr>
        <w:spacing w:line="580" w:lineRule="exact"/>
        <w:ind w:firstLine="49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7"/>
          <w:sz w:val="28"/>
          <w:szCs w:val="28"/>
        </w:rPr>
        <w:t>技术中心涵盖：产品技术中心、质量技术中心、工程技术中心、检测技术中心等；</w:t>
      </w:r>
    </w:p>
    <w:p w14:paraId="72789E74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为鼓励软件行业发展，将国家、省、市重点软件企业列为计分依据；</w:t>
      </w:r>
    </w:p>
    <w:p w14:paraId="07C65A19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权数1：国家级12分、省级6分、市级3分；</w:t>
      </w:r>
    </w:p>
    <w:p w14:paraId="36AB6518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权数2：单项系数为1.0，多项系数为N*0.6；</w:t>
      </w:r>
    </w:p>
    <w:p w14:paraId="61B6EE32">
      <w:pPr>
        <w:spacing w:line="580" w:lineRule="exact"/>
        <w:ind w:firstLine="492" w:firstLineChars="200"/>
        <w:rPr>
          <w:rFonts w:hint="eastAsia" w:ascii="仿宋" w:hAnsi="仿宋" w:eastAsia="仿宋" w:cs="仿宋"/>
          <w:bCs/>
          <w:color w:val="000000"/>
          <w:spacing w:val="-17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-17"/>
          <w:sz w:val="28"/>
          <w:szCs w:val="28"/>
        </w:rPr>
        <w:t>权数1与权数2相乘得出得分数。（2019年起有效，以已公布为准，同级允许相加）</w:t>
      </w:r>
    </w:p>
    <w:p w14:paraId="0DDF3E44">
      <w:pPr>
        <w:spacing w:line="580" w:lineRule="exact"/>
        <w:ind w:firstLine="494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  <w:t>注：N为项目数，L1、L2、L3项的二倍权数分封顶，L4=L1+L2+L3（满分为24分）</w:t>
      </w:r>
    </w:p>
    <w:p w14:paraId="0A422F21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（6）单项冠军、专精特新：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为加快提升企业竞争力，以国家、省、市“单项</w:t>
      </w:r>
    </w:p>
    <w:p w14:paraId="3E65A069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冠军”、“专精特新”企业列为计分依据；（2019年起有效，以已公布为准，</w:t>
      </w:r>
    </w:p>
    <w:p w14:paraId="46AA9D4B"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同级允许相加）</w:t>
      </w:r>
    </w:p>
    <w:p w14:paraId="01093E45">
      <w:pPr>
        <w:spacing w:line="580" w:lineRule="exact"/>
        <w:ind w:firstLine="494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pacing w:val="-17"/>
          <w:sz w:val="28"/>
          <w:szCs w:val="28"/>
        </w:rPr>
        <w:t>注：N为项目数，L1、L2、L3项的二倍权数分封顶，L4=L1+L2+L3（满分为12分）</w:t>
      </w:r>
    </w:p>
    <w:p w14:paraId="7CFDAAAA">
      <w:pPr>
        <w:spacing w:line="5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（7）管理</w:t>
      </w:r>
      <w:r>
        <w:rPr>
          <w:rFonts w:hint="eastAsia" w:ascii="仿宋" w:hAnsi="仿宋" w:eastAsia="仿宋" w:cs="仿宋"/>
          <w:b/>
          <w:color w:val="333333"/>
          <w:sz w:val="28"/>
          <w:szCs w:val="28"/>
        </w:rPr>
        <w:t>体系认证：</w:t>
      </w:r>
      <w:r>
        <w:rPr>
          <w:rFonts w:hint="eastAsia" w:ascii="仿宋" w:hAnsi="仿宋" w:eastAsia="仿宋" w:cs="仿宋"/>
          <w:sz w:val="28"/>
          <w:szCs w:val="28"/>
        </w:rPr>
        <w:t>以国家认监委认可的体系认证计权数分，包括：ISO9000、</w:t>
      </w:r>
    </w:p>
    <w:p w14:paraId="60D5A283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ISO14000、OHSAS18000 、TS16949、ISO13485、ISO14064、ISO27000、</w:t>
      </w:r>
    </w:p>
    <w:p w14:paraId="4EEE0F76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QC080000、ISO22000/HACCP、SA8000、BSCI、军标认证、TL9000认证、</w:t>
      </w:r>
    </w:p>
    <w:p w14:paraId="4E302ACE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软件CMMI认证等。</w:t>
      </w:r>
    </w:p>
    <w:p w14:paraId="28C517F4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权数1：6分；   权数2：单项系数为1.0，多项系数为N*0.6</w:t>
      </w:r>
    </w:p>
    <w:p w14:paraId="1D8A6936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权数1与权数2相乘得出得分数。（2019年起有效，以已公布为准）</w:t>
      </w:r>
    </w:p>
    <w:p w14:paraId="111F7005">
      <w:pPr>
        <w:spacing w:line="58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注：N为项目数，二倍权数分封顶</w:t>
      </w:r>
      <w:r>
        <w:rPr>
          <w:rFonts w:hint="eastAsia" w:ascii="仿宋" w:hAnsi="仿宋" w:eastAsia="仿宋" w:cs="仿宋"/>
          <w:b/>
          <w:sz w:val="28"/>
          <w:szCs w:val="28"/>
        </w:rPr>
        <w:t>。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（满分为12分）</w:t>
      </w:r>
    </w:p>
    <w:p w14:paraId="72CEB68B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（8）政府质量奖：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以企业获得省、市、区（县市）级政府质量奖为计分条件。</w:t>
      </w:r>
    </w:p>
    <w:p w14:paraId="0440E488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权数：获得省长（省政府）质量奖计12分、市长（市政府）质量奖6分、</w:t>
      </w:r>
    </w:p>
    <w:p w14:paraId="23B053DB">
      <w:pPr>
        <w:spacing w:line="580" w:lineRule="exact"/>
        <w:ind w:firstLine="1400" w:firstLineChars="5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区县（市）长质量奖3分。（2019年起有效，以已公布为准）</w:t>
      </w:r>
    </w:p>
    <w:p w14:paraId="5FB25703">
      <w:pPr>
        <w:spacing w:line="580" w:lineRule="exact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注：计分采用从高原则，不重复计分。（满分为12分）</w:t>
      </w:r>
    </w:p>
    <w:p w14:paraId="208B9C57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（9）企业资质：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以企业获得酒店业星级评定、建筑业、物流业、道路客（货）</w:t>
      </w:r>
    </w:p>
    <w:p w14:paraId="6D501E42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运等级评定等为计分条件，其他行业视行业等级情况类推。</w:t>
      </w:r>
    </w:p>
    <w:p w14:paraId="78A2D2AD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饭店业：五星级酒店的计6分、四星级计3分、三星级计1分；</w:t>
      </w:r>
    </w:p>
    <w:p w14:paraId="52F82B81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物流业：获得5A级的计6分、4A级计3分、3A级计1分；</w:t>
      </w:r>
    </w:p>
    <w:p w14:paraId="3618C2D1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建筑业：特级资质计6分、一级资质计3分、二级资质计1分；</w:t>
      </w:r>
    </w:p>
    <w:p w14:paraId="46D7CA89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道路客（货）运：一级资质的计6分、二级计3分、三级计1分。</w:t>
      </w:r>
    </w:p>
    <w:p w14:paraId="647D45BB">
      <w:pPr>
        <w:spacing w:line="580" w:lineRule="exact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注：计分采用从高原则，不重复计分、2019年起有效。（满分为6分）</w:t>
      </w:r>
    </w:p>
    <w:p w14:paraId="3C33B40C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（10）社会责任：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为鼓励企业在创造财富的同时提高企业的人才集聚能力，</w:t>
      </w:r>
    </w:p>
    <w:p w14:paraId="1228DA16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积极履行社会责任，为社会尽自己的一份力量。本指标以和谐企业创建、</w:t>
      </w:r>
    </w:p>
    <w:p w14:paraId="5FCC44FC"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双爱活动、文明单位评比等为计分依据。</w:t>
      </w:r>
    </w:p>
    <w:p w14:paraId="20DB8AAC"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权数：获得省级以上计6分、市级计3分、县区（市）级计1分。</w:t>
      </w:r>
    </w:p>
    <w:p w14:paraId="1D7F36E0">
      <w:pPr>
        <w:spacing w:line="580" w:lineRule="exact"/>
        <w:ind w:firstLine="562" w:firstLineChars="200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注：计分采用从高原则，不重复计分，2019年起有效。（满分为6分）</w:t>
      </w:r>
    </w:p>
    <w:p w14:paraId="5CFC26A2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（11）资产负债率：（单位：百分比%，保留二位小数，满分为10分）</w:t>
      </w:r>
    </w:p>
    <w:p w14:paraId="5EF065B7">
      <w:pPr>
        <w:spacing w:line="58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资产负债率是评价公司负债水平的综合指标，资产负债率=负债总额/资</w:t>
      </w:r>
    </w:p>
    <w:p w14:paraId="32413ABF">
      <w:pPr>
        <w:spacing w:line="58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产总额</w:t>
      </w:r>
      <w:r>
        <w:rPr>
          <w:rFonts w:hint="eastAsia" w:ascii="仿宋" w:hAnsi="仿宋" w:eastAsia="仿宋" w:cs="仿宋"/>
          <w:color w:val="000000"/>
          <w:spacing w:val="-6"/>
          <w:sz w:val="28"/>
          <w:szCs w:val="28"/>
        </w:rPr>
        <w:t>×100%，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以制造类企业65%、商贸服务类企业70%、建筑房产类75%</w:t>
      </w:r>
    </w:p>
    <w:p w14:paraId="68FD309D">
      <w:pPr>
        <w:spacing w:line="580" w:lineRule="exact"/>
        <w:ind w:firstLine="560" w:firstLineChars="2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为权数设置标准，每低于权数标准1%的计1分，以此类推，满分为10分，高于权数设置标准不计分。</w:t>
      </w:r>
    </w:p>
    <w:p w14:paraId="7440AE58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（12）营业收入增长率：（单位：万元，保留二位小数，满分为10分）</w:t>
      </w:r>
    </w:p>
    <w:p w14:paraId="54910A5E">
      <w:pPr>
        <w:spacing w:line="58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营业收入增长率代表公司产品销售量的增加，市场占有率的扩大。</w:t>
      </w:r>
    </w:p>
    <w:p w14:paraId="440537C7">
      <w:pPr>
        <w:spacing w:line="58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营业收入增长率=（报告期年度营业收入金额-基期年度营业收入金</w:t>
      </w:r>
    </w:p>
    <w:p w14:paraId="1CB7E2A0">
      <w:pPr>
        <w:spacing w:line="580" w:lineRule="exact"/>
        <w:ind w:firstLine="2960" w:firstLineChars="10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额）/基期年度营业收入金额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hint="eastAsia" w:ascii="仿宋" w:hAnsi="仿宋" w:eastAsia="仿宋" w:cs="仿宋"/>
          <w:spacing w:val="8"/>
          <w:sz w:val="28"/>
          <w:szCs w:val="28"/>
        </w:rPr>
        <w:t>100%/2；</w:t>
      </w:r>
    </w:p>
    <w:p w14:paraId="45E0FFAD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设置权数：以连续二个年度营业增长率的平均值为计算依据，每增长一</w:t>
      </w:r>
    </w:p>
    <w:p w14:paraId="109CDD44">
      <w:pPr>
        <w:spacing w:line="580" w:lineRule="exact"/>
        <w:ind w:firstLine="1960" w:firstLineChars="7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个百分比率计1分，以此类推，满分为10分，负数不计分。</w:t>
      </w:r>
    </w:p>
    <w:p w14:paraId="0E045FA4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（13）研发费用增长率：（单位：万元，保留二位小数，满分为10分）</w:t>
      </w:r>
    </w:p>
    <w:p w14:paraId="5FD864EF">
      <w:pPr>
        <w:spacing w:line="58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研发费用增长率代表研发投入的逐年增加，企业的创新力度在提升。</w:t>
      </w:r>
    </w:p>
    <w:p w14:paraId="0CBF2482">
      <w:pPr>
        <w:spacing w:line="580" w:lineRule="exact"/>
        <w:ind w:firstLine="592" w:firstLineChars="2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研发费用增长率=（报告期年度研发费用总额-基期年度研发费用总</w:t>
      </w:r>
    </w:p>
    <w:p w14:paraId="672D4CCE">
      <w:pPr>
        <w:spacing w:line="580" w:lineRule="exact"/>
        <w:ind w:firstLine="2960" w:firstLineChars="1000"/>
        <w:rPr>
          <w:rFonts w:hint="eastAsia" w:ascii="仿宋" w:hAnsi="仿宋" w:eastAsia="仿宋" w:cs="仿宋"/>
          <w:spacing w:val="8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额）/基期年度研发费用总额</w:t>
      </w:r>
      <w:r>
        <w:rPr>
          <w:rFonts w:hint="eastAsia" w:ascii="仿宋" w:hAnsi="仿宋" w:eastAsia="仿宋" w:cs="仿宋"/>
          <w:sz w:val="28"/>
          <w:szCs w:val="28"/>
        </w:rPr>
        <w:t>×</w:t>
      </w:r>
      <w:r>
        <w:rPr>
          <w:rFonts w:hint="eastAsia" w:ascii="仿宋" w:hAnsi="仿宋" w:eastAsia="仿宋" w:cs="仿宋"/>
          <w:spacing w:val="8"/>
          <w:sz w:val="28"/>
          <w:szCs w:val="28"/>
        </w:rPr>
        <w:t>100%/2；</w:t>
      </w:r>
    </w:p>
    <w:p w14:paraId="23B117B5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设置权数：以连续二个年度研发费用增长率的平均值为计算依据，每增</w:t>
      </w:r>
    </w:p>
    <w:p w14:paraId="63CA6B06">
      <w:pPr>
        <w:spacing w:line="580" w:lineRule="exact"/>
        <w:ind w:firstLine="1876" w:firstLineChars="7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6"/>
          <w:sz w:val="28"/>
          <w:szCs w:val="28"/>
        </w:rPr>
        <w:t>长一个百分比率计1分，以此类推，满分为10分，负数不计分。</w:t>
      </w:r>
    </w:p>
    <w:p w14:paraId="2C886B09">
      <w:pPr>
        <w:spacing w:line="5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（14）利润增长率：（单位：万元，保留二位小数，满分为20分）</w:t>
      </w:r>
    </w:p>
    <w:p w14:paraId="47CE0497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基期利润为正数：利润增长率=（报告期年度利润总额-基期年度利润总</w:t>
      </w:r>
    </w:p>
    <w:p w14:paraId="79B4B76C">
      <w:pPr>
        <w:spacing w:line="580" w:lineRule="exact"/>
        <w:ind w:firstLine="4480" w:firstLineChars="16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额）/基期年度利润总额×100%/2；</w:t>
      </w:r>
    </w:p>
    <w:p w14:paraId="247ABE75"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基期利润为负数：利润增长率={1-[（报告期年度利润总额-基期年度利</w:t>
      </w:r>
    </w:p>
    <w:p w14:paraId="57F27F3A">
      <w:pPr>
        <w:spacing w:line="580" w:lineRule="exact"/>
        <w:ind w:firstLine="4200" w:firstLineChars="15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润总额）/基期年度利润总额]}×100%/2；</w:t>
      </w:r>
    </w:p>
    <w:p w14:paraId="40EB3804">
      <w:pPr>
        <w:spacing w:line="5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设置权数：以连续二个年度利润增长率的平均值为计算依据，报告期亏</w:t>
      </w:r>
    </w:p>
    <w:p w14:paraId="33C15E3A">
      <w:pPr>
        <w:spacing w:line="580" w:lineRule="exact"/>
        <w:ind w:firstLine="1960" w:firstLineChars="7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损的不得分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每增长一个百分比率计1分，以此类推，满分</w:t>
      </w:r>
    </w:p>
    <w:p w14:paraId="22AF7A57">
      <w:pPr>
        <w:spacing w:line="580" w:lineRule="exact"/>
        <w:ind w:firstLine="1960" w:firstLineChars="7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为20分，负数不计分。</w:t>
      </w:r>
    </w:p>
    <w:p w14:paraId="4157BF41"/>
    <w:sectPr>
      <w:pgSz w:w="11906" w:h="16838"/>
      <w:pgMar w:top="850" w:right="1134" w:bottom="850" w:left="144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477E3"/>
    <w:rsid w:val="78C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2025-04-07T08:16:00Z</dcterms:created>
  <dc:creator>小小门牙</dc:creator>
  <cp:lastModifiedBy>小小门牙</cp:lastModifiedBy>
  <dcterms:modified xsi:type="dcterms:W3CDTF">2025-04-07T08:16:58Z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1D54EA45D83F49BA8769F678AF9A14A5_11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